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CellMar>
            <w:top w:w="0" w:type="dxa"/>
            <w:left w:w="0" w:type="dxa"/>
            <w:bottom w:w="0" w:type="dxa"/>
            <w:right w:w="0" w:type="dxa"/>
          </w:tblCellMar>
        </w:tblPrEx>
        <w:trPr>
          <w:trHeight w:val="450" w:hRule="atLeast"/>
          <w:tblCellSpacing w:w="0" w:type="dxa"/>
          <w:jc w:val="center"/>
        </w:trPr>
        <w:tc>
          <w:tcPr>
            <w:tcW w:w="7890" w:type="dxa"/>
            <w:shd w:val="clear" w:color="auto" w:fill="EBEBEB"/>
            <w:vAlign w:val="center"/>
          </w:tcPr>
          <w:p>
            <w:pPr>
              <w:keepNext w:val="0"/>
              <w:keepLines w:val="0"/>
              <w:widowControl/>
              <w:suppressLineNumbers w:val="0"/>
              <w:jc w:val="center"/>
            </w:pPr>
            <w:bookmarkStart w:id="0" w:name="_GoBack"/>
            <w:r>
              <w:rPr>
                <w:rFonts w:ascii="宋体" w:hAnsi="宋体" w:eastAsia="宋体" w:cs="宋体"/>
                <w:kern w:val="0"/>
                <w:sz w:val="24"/>
                <w:szCs w:val="24"/>
                <w:lang w:val="en-US" w:eastAsia="zh-CN" w:bidi="ar"/>
              </w:rPr>
              <w:t xml:space="preserve">人民银行等八部委印发《关于金融支持工业稳增长调结构增效益的若干意见》 </w:t>
            </w:r>
          </w:p>
          <w:bookmarkEnd w:id="0"/>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shd w:val="clear"/>
          <w:tblLayout w:type="fixed"/>
        </w:tblPrEx>
        <w:trPr>
          <w:trHeight w:val="301" w:hRule="atLeast"/>
          <w:tblCellSpacing w:w="0" w:type="dxa"/>
          <w:jc w:val="center"/>
        </w:trPr>
        <w:tc>
          <w:tcPr>
            <w:tcW w:w="78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shd w:val="clear"/>
          <w:tblLayout w:type="fixed"/>
          <w:tblCellMar>
            <w:top w:w="0" w:type="dxa"/>
            <w:left w:w="0" w:type="dxa"/>
            <w:bottom w:w="0" w:type="dxa"/>
            <w:right w:w="0" w:type="dxa"/>
          </w:tblCellMar>
        </w:tblPrEx>
        <w:trPr>
          <w:tblCellSpacing w:w="0" w:type="dxa"/>
          <w:jc w:val="center"/>
        </w:trPr>
        <w:tc>
          <w:tcPr>
            <w:tcW w:w="7890" w:type="dxa"/>
            <w:shd w:val="clear"/>
            <w:vAlign w:val="center"/>
          </w:tcPr>
          <w:p>
            <w:pPr>
              <w:keepNext w:val="0"/>
              <w:keepLines w:val="0"/>
              <w:widowControl/>
              <w:suppressLineNumbers w:val="0"/>
            </w:pPr>
            <w:r>
              <w:rPr>
                <w:sz w:val="24"/>
                <w:szCs w:val="24"/>
              </w:rPr>
              <w:pict>
                <v:rect id="_x0000_i1026" o:spt="1" style="height:0.75pt;width:410.4pt;" fillcolor="#A0A0A0" filled="t" stroked="f" coordsize="21600,21600" o:hr="t" o:hrstd="t" o:hralign="center">
                  <v:path/>
                  <v:fill on="t" focussize="0,0"/>
                  <v:stroke on="f"/>
                  <v:imagedata o:title=""/>
                  <o:lock v:ext="edit"/>
                  <w10:wrap type="none"/>
                  <w10:anchorlock/>
                </v:rect>
              </w:pict>
            </w:r>
          </w:p>
        </w:tc>
      </w:tr>
      <w:tr>
        <w:tblPrEx>
          <w:shd w:val="clear"/>
          <w:tblLayout w:type="fixed"/>
          <w:tblCellMar>
            <w:top w:w="0" w:type="dxa"/>
            <w:left w:w="0" w:type="dxa"/>
            <w:bottom w:w="0" w:type="dxa"/>
            <w:right w:w="0" w:type="dxa"/>
          </w:tblCellMar>
        </w:tblPrEx>
        <w:trPr>
          <w:trHeight w:val="4501" w:hRule="atLeast"/>
          <w:tblCellSpacing w:w="0" w:type="dxa"/>
          <w:jc w:val="center"/>
        </w:trPr>
        <w:tc>
          <w:tcPr>
            <w:tcW w:w="7890" w:type="dxa"/>
            <w:shd w:val="clear"/>
            <w:vAlign w:val="top"/>
          </w:tcPr>
          <w:p>
            <w:pPr>
              <w:keepNext w:val="0"/>
              <w:keepLines w:val="0"/>
              <w:widowControl/>
              <w:suppressLineNumbers w:val="0"/>
              <w:jc w:val="left"/>
            </w:pPr>
            <w:r>
              <w:rPr>
                <w:rFonts w:ascii="宋体" w:hAnsi="宋体" w:eastAsia="宋体" w:cs="宋体"/>
                <w:kern w:val="0"/>
                <w:sz w:val="24"/>
                <w:szCs w:val="24"/>
                <w:lang w:val="en-US" w:eastAsia="zh-CN" w:bidi="ar"/>
              </w:rPr>
              <w:t xml:space="preserve">　　人民银行、发展改革委、工业和信息化部、财政部、商务部、银监会、证监会、保监会日前联合印发《关于金融支持工业稳增长调结构增效益的若干意见》，从加强货币信贷政策支持、营造良好的货币金融环境，提高资本市场、保险市场对工业企业的支持力度，推动工业企业融资机制创新，促进工业企业兼并重组，支持工业企业加快“走出去”，加强风险防范和协调配合六个方面提出了一系列支持工业转型升级、降本增效的具体金融政策措施。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此前，中央经济工作会议、国务院常务会议均提出加强供给侧结构性改革，突破工业转型发展面临的融资难、融资贵瓶颈，推动金融业增强服务能力，支持工业加快转型升级。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意见》坚持把握金融支持工业稳增长、调结构、增效益与防风险之间的平衡，注意处理好市场与政府的关系，紧紧围绕工业去产能、去库存、去杠杆、降成本、补短板五大任务，提出了重点支持的具体行业和领域，进一步明确了坚决退出淘汰落后产能的政策导向，积极引导金融创新紧密结合工业创新，着力改造工业发展传统动能，积极培养工业发展新动能。同时，《意见》注重保持各类融资方式的适当“门槛”，着力形成优胜劣汰的筛选机制，有利于促进金融资源优化配置，为新常态下金融与工业共生共荣提供了明确的方向指引和有力的政策支撑。</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22333"/>
    <w:rsid w:val="242801E0"/>
    <w:rsid w:val="3D4C691F"/>
    <w:rsid w:val="4E0B6E98"/>
    <w:rsid w:val="5CCC53CD"/>
    <w:rsid w:val="65922333"/>
    <w:rsid w:val="7E4A5E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2016-03-22T01:32:00Z</dcterms:created>
  <dc:creator>Administrator</dc:creator>
  <cp:lastModifiedBy>Administrator</cp:lastModifiedBy>
  <dcterms:modified xsi:type="dcterms:W3CDTF">2016-03-22T02:02:42Z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