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7890" w:type="dxa"/>
        <w:jc w:val="center"/>
        <w:tblCellSpacing w:w="0" w:type="dxa"/>
        <w:tblInd w:w="208" w:type="dxa"/>
        <w:shd w:val="clear"/>
        <w:tblLayout w:type="fixed"/>
        <w:tblCellMar>
          <w:top w:w="0" w:type="dxa"/>
          <w:left w:w="0" w:type="dxa"/>
          <w:bottom w:w="0" w:type="dxa"/>
          <w:right w:w="0" w:type="dxa"/>
        </w:tblCellMar>
      </w:tblPr>
      <w:tblGrid>
        <w:gridCol w:w="7890"/>
      </w:tblGrid>
      <w:tr>
        <w:tblPrEx>
          <w:shd w:val="clear"/>
          <w:tblLayout w:type="fixed"/>
          <w:tblCellMar>
            <w:top w:w="0" w:type="dxa"/>
            <w:left w:w="0" w:type="dxa"/>
            <w:bottom w:w="0" w:type="dxa"/>
            <w:right w:w="0" w:type="dxa"/>
          </w:tblCellMar>
        </w:tblPrEx>
        <w:trPr>
          <w:trHeight w:val="450" w:hRule="atLeast"/>
          <w:tblCellSpacing w:w="0" w:type="dxa"/>
          <w:jc w:val="center"/>
        </w:trPr>
        <w:tc>
          <w:tcPr>
            <w:tcW w:w="7890" w:type="dxa"/>
            <w:shd w:val="clear" w:color="auto" w:fill="EBEBEB"/>
            <w:vAlign w:val="center"/>
          </w:tcPr>
          <w:p>
            <w:pPr>
              <w:keepNext w:val="0"/>
              <w:keepLines w:val="0"/>
              <w:widowControl/>
              <w:suppressLineNumbers w:val="0"/>
              <w:jc w:val="center"/>
            </w:pPr>
            <w:r>
              <w:rPr>
                <w:rFonts w:ascii="宋体" w:hAnsi="宋体" w:eastAsia="宋体" w:cs="宋体"/>
                <w:kern w:val="0"/>
                <w:sz w:val="24"/>
                <w:szCs w:val="24"/>
                <w:lang w:val="en-US" w:eastAsia="zh-CN" w:bidi="ar"/>
              </w:rPr>
              <w:t xml:space="preserve">人民银行联合多部门发布指导意见 </w:t>
            </w:r>
          </w:p>
          <w:p>
            <w:pPr>
              <w:keepNext w:val="0"/>
              <w:keepLines w:val="0"/>
              <w:widowControl/>
              <w:suppressLineNumbers w:val="0"/>
              <w:jc w:val="left"/>
            </w:pPr>
            <w:r>
              <w:rPr>
                <w:rFonts w:ascii="宋体" w:hAnsi="宋体" w:eastAsia="宋体" w:cs="宋体"/>
                <w:kern w:val="0"/>
                <w:sz w:val="24"/>
                <w:szCs w:val="24"/>
                <w:lang w:val="en-US" w:eastAsia="zh-CN" w:bidi="ar"/>
              </w:rPr>
              <w:t> </w:t>
            </w:r>
          </w:p>
        </w:tc>
      </w:tr>
      <w:tr>
        <w:tblPrEx>
          <w:shd w:val="clear"/>
          <w:tblLayout w:type="fixed"/>
          <w:tblCellMar>
            <w:top w:w="0" w:type="dxa"/>
            <w:left w:w="0" w:type="dxa"/>
            <w:bottom w:w="0" w:type="dxa"/>
            <w:right w:w="0" w:type="dxa"/>
          </w:tblCellMar>
        </w:tblPrEx>
        <w:trPr>
          <w:trHeight w:val="301" w:hRule="atLeast"/>
          <w:tblCellSpacing w:w="0" w:type="dxa"/>
          <w:jc w:val="center"/>
        </w:trPr>
        <w:tc>
          <w:tcPr>
            <w:tcW w:w="7890" w:type="dxa"/>
            <w:shd w:val="clear"/>
            <w:vAlign w:val="center"/>
          </w:tcPr>
          <w:p>
            <w:pPr>
              <w:keepNext w:val="0"/>
              <w:keepLines w:val="0"/>
              <w:widowControl/>
              <w:suppressLineNumbers w:val="0"/>
              <w:jc w:val="center"/>
            </w:pPr>
            <w:r>
              <w:rPr>
                <w:rFonts w:ascii="宋体" w:hAnsi="宋体" w:eastAsia="宋体" w:cs="宋体"/>
                <w:kern w:val="0"/>
                <w:sz w:val="24"/>
                <w:szCs w:val="24"/>
                <w:lang w:val="en-US" w:eastAsia="zh-CN" w:bidi="ar"/>
              </w:rPr>
              <w:t> </w:t>
            </w:r>
          </w:p>
        </w:tc>
      </w:tr>
      <w:tr>
        <w:tblPrEx>
          <w:shd w:val="clear"/>
          <w:tblLayout w:type="fixed"/>
          <w:tblCellMar>
            <w:top w:w="0" w:type="dxa"/>
            <w:left w:w="0" w:type="dxa"/>
            <w:bottom w:w="0" w:type="dxa"/>
            <w:right w:w="0" w:type="dxa"/>
          </w:tblCellMar>
        </w:tblPrEx>
        <w:trPr>
          <w:tblCellSpacing w:w="0" w:type="dxa"/>
          <w:jc w:val="center"/>
        </w:trPr>
        <w:tc>
          <w:tcPr>
            <w:tcW w:w="7890" w:type="dxa"/>
            <w:shd w:val="clear"/>
            <w:vAlign w:val="center"/>
          </w:tcPr>
          <w:p>
            <w:pPr>
              <w:keepNext w:val="0"/>
              <w:keepLines w:val="0"/>
              <w:widowControl/>
              <w:suppressLineNumbers w:val="0"/>
            </w:pPr>
            <w:bookmarkStart w:id="0" w:name="_GoBack"/>
            <w:r>
              <w:rPr>
                <w:sz w:val="24"/>
                <w:szCs w:val="24"/>
              </w:rPr>
              <w:pict>
                <v:rect id="_x0000_i1025" o:spt="1" style="height:0.75pt;width:410.4pt;" fillcolor="#A0A0A0" filled="t" stroked="f" coordsize="21600,21600" o:hr="t" o:hrstd="t" o:hralign="center">
                  <v:path/>
                  <v:fill on="t" focussize="0,0"/>
                  <v:stroke on="f"/>
                  <v:imagedata o:title=""/>
                  <o:lock v:ext="edit"/>
                  <w10:wrap type="none"/>
                  <w10:anchorlock/>
                </v:rect>
              </w:pict>
            </w:r>
          </w:p>
        </w:tc>
      </w:tr>
      <w:bookmarkEnd w:id="0"/>
      <w:tr>
        <w:tblPrEx>
          <w:shd w:val="clear"/>
          <w:tblLayout w:type="fixed"/>
          <w:tblCellMar>
            <w:top w:w="0" w:type="dxa"/>
            <w:left w:w="0" w:type="dxa"/>
            <w:bottom w:w="0" w:type="dxa"/>
            <w:right w:w="0" w:type="dxa"/>
          </w:tblCellMar>
        </w:tblPrEx>
        <w:trPr>
          <w:trHeight w:val="4501" w:hRule="atLeast"/>
          <w:tblCellSpacing w:w="0" w:type="dxa"/>
          <w:jc w:val="center"/>
        </w:trPr>
        <w:tc>
          <w:tcPr>
            <w:tcW w:w="7890" w:type="dxa"/>
            <w:shd w:val="clear"/>
            <w:vAlign w:val="top"/>
          </w:tcPr>
          <w:p>
            <w:pPr>
              <w:keepNext w:val="0"/>
              <w:keepLines w:val="0"/>
              <w:widowControl/>
              <w:suppressLineNumbers w:val="0"/>
              <w:jc w:val="left"/>
            </w:pPr>
            <w:r>
              <w:rPr>
                <w:rFonts w:ascii="宋体" w:hAnsi="宋体" w:eastAsia="宋体" w:cs="宋体"/>
                <w:kern w:val="0"/>
                <w:sz w:val="24"/>
                <w:szCs w:val="24"/>
                <w:lang w:val="en-US" w:eastAsia="zh-CN" w:bidi="ar"/>
              </w:rPr>
              <w:t xml:space="preserve">　　人民银行、民政部、银监会、证监会、保监会日前联合印发了《关于金融支持养老服务业加快发展的指导意见》（以下简称《意见》）。《意见》指出，积极应对人口老龄化，加快发展养老服务业，是全面建成小康社会的一项紧迫任务，也是推进供给侧结构性改革的重要内容。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意见》要求，金融业要充分认识做好养老领域金融服务对于加快养老服务业发展和实现自身转型升级的重要意义，增强战略意识，优化业务布局，大力推动组织、产品和服务创新，不断满足社会日益增长的多层次、多样化养老领域金融服务需求，提升居民养老财富储备和养老服务支付能力，实现支持养老服务业和自身转型发展的良性互动。力争到2025年，基本建成覆盖广泛、种类齐全、功能完备、服务高效、安全稳健，与我国人口老龄化进程相适应，符合小康社会要求的金融服务体系。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xml:space="preserve">　　《意见》提出，要积极创新专业金融组织形式，探索建立养老金融事业部制、组建多种形式的金融服务专营机构，创新适合养老服务业特点的贷款方式，探索拓宽养老服务业贷款抵押担保范围，加大对养老领域的信贷支持力度；推动符合条件的养老服务企业上市融资，支持不同类型和发展阶段的养老服务企业、项目通过债券市场融资，完善养老保险体系建设，为养老服务企业及项目提供中长期、低成本资金支持；优化网点布局，增强老年群体金融服务便利性，积极开发可提供长期稳定收益、符合养老跨生命周期需求的差异化金融产品，不断扩展和提升居民养老金融服务能力和水平。 </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　　《意见》明确，建立人民银行、民政、金融监管等部门参加的金融支持养老服务业工作协调机制，加强产业政策与金融政策协调配合，综合运用多种金融政策工具，加强政策落实与效果监测，形成推进养老服务业发展的政策合力。</w:t>
            </w:r>
          </w:p>
        </w:tc>
      </w:tr>
    </w:tbl>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36D7F"/>
    <w:rsid w:val="15436D7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2016-03-24T04:47:00Z</dcterms:created>
  <dc:creator>Administrator</dc:creator>
  <cp:lastModifiedBy>Administrator</cp:lastModifiedBy>
  <dcterms:modified xsi:type="dcterms:W3CDTF">2016-03-24T04:47:45Z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